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3D" w:rsidRDefault="001F5368" w:rsidP="000F1A3D">
      <w:pPr>
        <w:rPr>
          <w:rFonts w:ascii="Corbel" w:hAnsi="Corbel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1F536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-791845</wp:posOffset>
            </wp:positionH>
            <wp:positionV relativeFrom="page">
              <wp:posOffset>1018540</wp:posOffset>
            </wp:positionV>
            <wp:extent cx="7451090" cy="10985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109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9CF" w:rsidRPr="001F5368" w:rsidRDefault="008E09CF" w:rsidP="00F950F8">
      <w:pPr>
        <w:spacing w:line="240" w:lineRule="auto"/>
        <w:contextualSpacing/>
        <w:jc w:val="both"/>
        <w:rPr>
          <w:rFonts w:ascii="Corbel" w:hAnsi="Corbel" w:cs="Times New Roman"/>
          <w:color w:val="000000" w:themeColor="text1"/>
          <w:szCs w:val="24"/>
          <w:shd w:val="clear" w:color="auto" w:fill="FFFFFF"/>
        </w:rPr>
      </w:pPr>
      <w:r w:rsidRPr="001F5368">
        <w:rPr>
          <w:rFonts w:ascii="Corbel" w:hAnsi="Corbel" w:cs="Times New Roman"/>
          <w:color w:val="000000" w:themeColor="text1"/>
          <w:sz w:val="24"/>
          <w:szCs w:val="24"/>
          <w:shd w:val="clear" w:color="auto" w:fill="FFFFFF"/>
        </w:rPr>
        <w:t xml:space="preserve">À </w:t>
      </w:r>
      <w:r w:rsidRPr="001F5368">
        <w:rPr>
          <w:rFonts w:ascii="Corbel" w:hAnsi="Corbel" w:cs="Times New Roman"/>
          <w:color w:val="000000" w:themeColor="text1"/>
          <w:szCs w:val="24"/>
          <w:shd w:val="clear" w:color="auto" w:fill="FFFFFF"/>
        </w:rPr>
        <w:t>chaque année, l’Association Mathématique du Québec</w:t>
      </w:r>
      <w:r w:rsidR="001F5368">
        <w:rPr>
          <w:rFonts w:ascii="Corbel" w:hAnsi="Corbel" w:cs="Times New Roman"/>
          <w:color w:val="000000" w:themeColor="text1"/>
          <w:szCs w:val="24"/>
          <w:shd w:val="clear" w:color="auto" w:fill="FFFFFF"/>
        </w:rPr>
        <w:t xml:space="preserve"> (www.amq.math.ca)</w:t>
      </w:r>
      <w:r w:rsidRPr="001F5368">
        <w:rPr>
          <w:rFonts w:ascii="Corbel" w:hAnsi="Corbel" w:cs="Times New Roman"/>
          <w:color w:val="000000" w:themeColor="text1"/>
          <w:szCs w:val="24"/>
          <w:shd w:val="clear" w:color="auto" w:fill="FFFFFF"/>
        </w:rPr>
        <w:t xml:space="preserve"> chapeaute un congr</w:t>
      </w:r>
      <w:r w:rsidRPr="001F5368">
        <w:rPr>
          <w:rFonts w:ascii="Corbel" w:hAnsi="Corbel" w:cs="Cambria"/>
          <w:color w:val="000000" w:themeColor="text1"/>
          <w:szCs w:val="24"/>
          <w:shd w:val="clear" w:color="auto" w:fill="FFFFFF"/>
        </w:rPr>
        <w:t>è</w:t>
      </w:r>
      <w:r w:rsidRPr="001F5368">
        <w:rPr>
          <w:rFonts w:ascii="Corbel" w:hAnsi="Corbel" w:cs="Times New Roman"/>
          <w:color w:val="000000" w:themeColor="text1"/>
          <w:szCs w:val="24"/>
          <w:shd w:val="clear" w:color="auto" w:fill="FFFFFF"/>
        </w:rPr>
        <w:t>s</w:t>
      </w:r>
      <w:r w:rsidR="000F1A3D">
        <w:rPr>
          <w:rFonts w:ascii="Corbel" w:hAnsi="Corbel" w:cs="Times New Roman"/>
          <w:color w:val="000000" w:themeColor="text1"/>
          <w:szCs w:val="24"/>
          <w:shd w:val="clear" w:color="auto" w:fill="FFFFFF"/>
        </w:rPr>
        <w:t xml:space="preserve"> qui s’adresse non seulement aux mathématiciens, mais également aux </w:t>
      </w:r>
      <w:r w:rsidR="000F1A3D">
        <w:rPr>
          <w:rFonts w:ascii="Corbel" w:hAnsi="Corbel" w:cs="Times New Roman"/>
          <w:b/>
          <w:color w:val="000000" w:themeColor="text1"/>
          <w:szCs w:val="24"/>
          <w:shd w:val="clear" w:color="auto" w:fill="FFFFFF"/>
        </w:rPr>
        <w:t>enseignants de tous les niveaux</w:t>
      </w:r>
      <w:r w:rsidR="000F1A3D">
        <w:rPr>
          <w:rFonts w:ascii="Corbel" w:hAnsi="Corbel" w:cs="Times New Roman"/>
          <w:color w:val="000000" w:themeColor="text1"/>
          <w:szCs w:val="24"/>
          <w:shd w:val="clear" w:color="auto" w:fill="FFFFFF"/>
        </w:rPr>
        <w:t xml:space="preserve"> et au passionnés de mathématiques. Le but étant de</w:t>
      </w:r>
      <w:r w:rsidRPr="001F5368">
        <w:rPr>
          <w:rFonts w:ascii="Corbel" w:hAnsi="Corbel" w:cs="Times New Roman"/>
          <w:color w:val="000000" w:themeColor="text1"/>
          <w:szCs w:val="24"/>
          <w:shd w:val="clear" w:color="auto" w:fill="FFFFFF"/>
        </w:rPr>
        <w:t xml:space="preserve"> partager leurs expériences et leurs innovations.</w:t>
      </w:r>
      <w:r w:rsidR="000F1A3D">
        <w:rPr>
          <w:rFonts w:ascii="Corbel" w:hAnsi="Corbel" w:cs="Times New Roman"/>
          <w:color w:val="000000" w:themeColor="text1"/>
          <w:szCs w:val="24"/>
          <w:shd w:val="clear" w:color="auto" w:fill="FFFFFF"/>
        </w:rPr>
        <w:t xml:space="preserve"> </w:t>
      </w:r>
      <w:r w:rsidRPr="001F5368">
        <w:rPr>
          <w:rFonts w:ascii="Corbel" w:hAnsi="Corbel" w:cs="Times New Roman"/>
          <w:color w:val="000000" w:themeColor="text1"/>
          <w:szCs w:val="24"/>
          <w:shd w:val="clear" w:color="auto" w:fill="FFFFFF"/>
        </w:rPr>
        <w:t xml:space="preserve"> Les participants peuvent y présenter des outils concrets qu’ils ont développés, de nouvelles notions mathématiques ou de nouveaux exemples qui pourraient favoriser l’apprentissage. </w:t>
      </w:r>
      <w:r w:rsidR="000F1A3D">
        <w:rPr>
          <w:rFonts w:ascii="Corbel" w:hAnsi="Corbel" w:cs="Times New Roman"/>
          <w:color w:val="000000" w:themeColor="text1"/>
          <w:szCs w:val="24"/>
          <w:shd w:val="clear" w:color="auto" w:fill="FFFFFF"/>
        </w:rPr>
        <w:t xml:space="preserve">De plus, l’AMQ </w:t>
      </w:r>
      <w:r w:rsidRPr="001F5368">
        <w:rPr>
          <w:rFonts w:ascii="Corbel" w:hAnsi="Corbel" w:cs="Times New Roman"/>
          <w:color w:val="000000" w:themeColor="text1"/>
          <w:szCs w:val="24"/>
          <w:shd w:val="clear" w:color="auto" w:fill="FFFFFF"/>
        </w:rPr>
        <w:t>publie des articles sur divers th</w:t>
      </w:r>
      <w:r w:rsidRPr="001F5368">
        <w:rPr>
          <w:rFonts w:ascii="Corbel" w:hAnsi="Corbel" w:cs="Cambria"/>
          <w:color w:val="000000" w:themeColor="text1"/>
          <w:szCs w:val="24"/>
          <w:shd w:val="clear" w:color="auto" w:fill="FFFFFF"/>
        </w:rPr>
        <w:t>è</w:t>
      </w:r>
      <w:r w:rsidRPr="001F5368">
        <w:rPr>
          <w:rFonts w:ascii="Corbel" w:hAnsi="Corbel" w:cs="Times New Roman"/>
          <w:color w:val="000000" w:themeColor="text1"/>
          <w:szCs w:val="24"/>
          <w:shd w:val="clear" w:color="auto" w:fill="FFFFFF"/>
        </w:rPr>
        <w:t>mes math</w:t>
      </w:r>
      <w:r w:rsidRPr="001F5368">
        <w:rPr>
          <w:rFonts w:ascii="Corbel" w:hAnsi="Corbel" w:cs="CatCafe"/>
          <w:color w:val="000000" w:themeColor="text1"/>
          <w:szCs w:val="24"/>
          <w:shd w:val="clear" w:color="auto" w:fill="FFFFFF"/>
        </w:rPr>
        <w:t>é</w:t>
      </w:r>
      <w:r w:rsidRPr="001F5368">
        <w:rPr>
          <w:rFonts w:ascii="Corbel" w:hAnsi="Corbel" w:cs="Times New Roman"/>
          <w:color w:val="000000" w:themeColor="text1"/>
          <w:szCs w:val="24"/>
          <w:shd w:val="clear" w:color="auto" w:fill="FFFFFF"/>
        </w:rPr>
        <w:t>matiques dans son bulletin de l’AMQ.</w:t>
      </w:r>
    </w:p>
    <w:p w:rsidR="008E09CF" w:rsidRDefault="000F1A3D" w:rsidP="00F950F8">
      <w:pPr>
        <w:pStyle w:val="NormalWeb"/>
        <w:spacing w:before="0" w:beforeAutospacing="0" w:after="0" w:afterAutospacing="0"/>
        <w:contextualSpacing/>
        <w:jc w:val="both"/>
        <w:rPr>
          <w:rFonts w:ascii="Corbel" w:hAnsi="Corbel"/>
          <w:color w:val="000000" w:themeColor="text1"/>
          <w:sz w:val="22"/>
          <w:lang w:val="fr-CA"/>
        </w:rPr>
      </w:pPr>
      <w:r w:rsidRPr="001F5368">
        <w:rPr>
          <w:rFonts w:ascii="Corbel" w:hAnsi="Corbel"/>
          <w:noProof/>
          <w:color w:val="FF000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58000B7F" wp14:editId="14C5F369">
            <wp:simplePos x="0" y="0"/>
            <wp:positionH relativeFrom="column">
              <wp:posOffset>3670935</wp:posOffset>
            </wp:positionH>
            <wp:positionV relativeFrom="paragraph">
              <wp:posOffset>295275</wp:posOffset>
            </wp:positionV>
            <wp:extent cx="3187065" cy="3056890"/>
            <wp:effectExtent l="0" t="0" r="0" b="0"/>
            <wp:wrapSquare wrapText="bothSides"/>
            <wp:docPr id="2" name="Image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D959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8" b="16247"/>
                    <a:stretch/>
                  </pic:blipFill>
                  <pic:spPr bwMode="auto">
                    <a:xfrm>
                      <a:off x="0" y="0"/>
                      <a:ext cx="3187065" cy="3056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368" w:rsidRPr="001F5368">
        <w:rPr>
          <w:rFonts w:ascii="Corbel" w:hAnsi="Corbel"/>
          <w:color w:val="000000" w:themeColor="text1"/>
          <w:sz w:val="22"/>
          <w:shd w:val="clear" w:color="auto" w:fill="FFFFFF"/>
          <w:lang w:val="fr-CA"/>
        </w:rPr>
        <w:t>C</w:t>
      </w:r>
      <w:r w:rsidR="008E09CF" w:rsidRPr="001F5368">
        <w:rPr>
          <w:rFonts w:ascii="Corbel" w:hAnsi="Corbel"/>
          <w:color w:val="000000" w:themeColor="text1"/>
          <w:sz w:val="22"/>
          <w:shd w:val="clear" w:color="auto" w:fill="FFFFFF"/>
          <w:lang w:val="fr-CA"/>
        </w:rPr>
        <w:t>ette année, le congr</w:t>
      </w:r>
      <w:r w:rsidR="008E09CF" w:rsidRPr="001F5368">
        <w:rPr>
          <w:rFonts w:ascii="Corbel" w:hAnsi="Corbel" w:cs="Cambria"/>
          <w:color w:val="000000" w:themeColor="text1"/>
          <w:sz w:val="22"/>
          <w:shd w:val="clear" w:color="auto" w:fill="FFFFFF"/>
          <w:lang w:val="fr-CA"/>
        </w:rPr>
        <w:t>è</w:t>
      </w:r>
      <w:r w:rsidR="008E09CF" w:rsidRPr="001F5368">
        <w:rPr>
          <w:rFonts w:ascii="Corbel" w:hAnsi="Corbel"/>
          <w:color w:val="000000" w:themeColor="text1"/>
          <w:sz w:val="22"/>
          <w:shd w:val="clear" w:color="auto" w:fill="FFFFFF"/>
          <w:lang w:val="fr-CA"/>
        </w:rPr>
        <w:t>s aura lieu au C</w:t>
      </w:r>
      <w:r w:rsidR="008E09CF" w:rsidRPr="001F5368">
        <w:rPr>
          <w:rFonts w:ascii="Corbel" w:hAnsi="Corbel" w:cs="CatCafe"/>
          <w:color w:val="000000" w:themeColor="text1"/>
          <w:sz w:val="22"/>
          <w:shd w:val="clear" w:color="auto" w:fill="FFFFFF"/>
          <w:lang w:val="fr-CA"/>
        </w:rPr>
        <w:t>é</w:t>
      </w:r>
      <w:r w:rsidR="008E09CF" w:rsidRPr="001F5368">
        <w:rPr>
          <w:rFonts w:ascii="Corbel" w:hAnsi="Corbel"/>
          <w:color w:val="000000" w:themeColor="text1"/>
          <w:sz w:val="22"/>
          <w:shd w:val="clear" w:color="auto" w:fill="FFFFFF"/>
          <w:lang w:val="fr-CA"/>
        </w:rPr>
        <w:t>gep de l’Outaouais sous le th</w:t>
      </w:r>
      <w:r w:rsidR="008E09CF" w:rsidRPr="001F5368">
        <w:rPr>
          <w:rFonts w:ascii="Corbel" w:hAnsi="Corbel" w:cs="Cambria"/>
          <w:color w:val="000000" w:themeColor="text1"/>
          <w:sz w:val="22"/>
          <w:shd w:val="clear" w:color="auto" w:fill="FFFFFF"/>
          <w:lang w:val="fr-CA"/>
        </w:rPr>
        <w:t>è</w:t>
      </w:r>
      <w:r w:rsidR="008E09CF" w:rsidRPr="001F5368">
        <w:rPr>
          <w:rFonts w:ascii="Corbel" w:hAnsi="Corbel"/>
          <w:color w:val="000000" w:themeColor="text1"/>
          <w:sz w:val="22"/>
          <w:shd w:val="clear" w:color="auto" w:fill="FFFFFF"/>
          <w:lang w:val="fr-CA"/>
        </w:rPr>
        <w:t xml:space="preserve">me </w:t>
      </w:r>
      <w:r w:rsidR="008E09CF" w:rsidRPr="001F5368">
        <w:rPr>
          <w:rFonts w:ascii="Corbel" w:hAnsi="Corbel"/>
          <w:b/>
          <w:color w:val="000000" w:themeColor="text1"/>
          <w:sz w:val="22"/>
          <w:shd w:val="clear" w:color="auto" w:fill="FFFFFF"/>
          <w:lang w:val="fr-CA"/>
        </w:rPr>
        <w:t>Les mathématiques au service de l’</w:t>
      </w:r>
      <w:r w:rsidR="008E09CF" w:rsidRPr="001F5368">
        <w:rPr>
          <w:rFonts w:ascii="Corbel" w:hAnsi="Corbel" w:cs="Cambria"/>
          <w:b/>
          <w:color w:val="000000" w:themeColor="text1"/>
          <w:sz w:val="22"/>
          <w:shd w:val="clear" w:color="auto" w:fill="FFFFFF"/>
          <w:lang w:val="fr-CA"/>
        </w:rPr>
        <w:t>ê</w:t>
      </w:r>
      <w:r w:rsidR="008E09CF" w:rsidRPr="001F5368">
        <w:rPr>
          <w:rFonts w:ascii="Corbel" w:hAnsi="Corbel"/>
          <w:b/>
          <w:color w:val="000000" w:themeColor="text1"/>
          <w:sz w:val="22"/>
          <w:shd w:val="clear" w:color="auto" w:fill="FFFFFF"/>
          <w:lang w:val="fr-CA"/>
        </w:rPr>
        <w:t>tre humain</w:t>
      </w:r>
      <w:r>
        <w:rPr>
          <w:rFonts w:ascii="Corbel" w:hAnsi="Corbel"/>
          <w:b/>
          <w:color w:val="000000" w:themeColor="text1"/>
          <w:sz w:val="22"/>
          <w:shd w:val="clear" w:color="auto" w:fill="FFFFFF"/>
          <w:lang w:val="fr-CA"/>
        </w:rPr>
        <w:t xml:space="preserve">. 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>Afin de mettre la table pour ce congr</w:t>
      </w:r>
      <w:r w:rsidR="008E09CF" w:rsidRPr="008E09CF">
        <w:rPr>
          <w:rFonts w:ascii="Corbel" w:hAnsi="Corbel" w:cs="Cambria"/>
          <w:color w:val="000000" w:themeColor="text1"/>
          <w:sz w:val="22"/>
          <w:lang w:val="fr-CA"/>
        </w:rPr>
        <w:t>è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 xml:space="preserve">s, nous ferons donc appel </w:t>
      </w:r>
      <w:r w:rsidR="008E09CF" w:rsidRPr="008E09CF">
        <w:rPr>
          <w:rFonts w:ascii="Corbel" w:hAnsi="Corbel" w:cs="Cambria"/>
          <w:color w:val="000000" w:themeColor="text1"/>
          <w:sz w:val="22"/>
          <w:lang w:val="fr-CA"/>
        </w:rPr>
        <w:t>à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 xml:space="preserve"> un math</w:t>
      </w:r>
      <w:r w:rsidR="008E09CF" w:rsidRPr="008E09CF">
        <w:rPr>
          <w:rFonts w:ascii="Corbel" w:hAnsi="Corbel" w:cs="CatCafe"/>
          <w:color w:val="000000" w:themeColor="text1"/>
          <w:sz w:val="22"/>
          <w:lang w:val="fr-CA"/>
        </w:rPr>
        <w:t>é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>maticien de la r</w:t>
      </w:r>
      <w:r w:rsidR="008E09CF" w:rsidRPr="008E09CF">
        <w:rPr>
          <w:rFonts w:ascii="Corbel" w:hAnsi="Corbel" w:cs="CatCafe"/>
          <w:color w:val="000000" w:themeColor="text1"/>
          <w:sz w:val="22"/>
          <w:lang w:val="fr-CA"/>
        </w:rPr>
        <w:t>é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 xml:space="preserve">gion, </w:t>
      </w:r>
      <w:r w:rsidR="008E09CF" w:rsidRPr="000F1A3D">
        <w:rPr>
          <w:rFonts w:ascii="Corbel" w:hAnsi="Corbel"/>
          <w:b/>
          <w:color w:val="000000" w:themeColor="text1"/>
          <w:sz w:val="22"/>
          <w:lang w:val="fr-CA"/>
        </w:rPr>
        <w:t>Yves Bourgault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 xml:space="preserve">, professeur </w:t>
      </w:r>
      <w:r w:rsidR="008E09CF" w:rsidRPr="008E09CF">
        <w:rPr>
          <w:rFonts w:ascii="Corbel" w:hAnsi="Corbel" w:cs="Cambria"/>
          <w:color w:val="000000" w:themeColor="text1"/>
          <w:sz w:val="22"/>
          <w:lang w:val="fr-CA"/>
        </w:rPr>
        <w:t>à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 xml:space="preserve"> l</w:t>
      </w:r>
      <w:r w:rsidR="008E09CF" w:rsidRPr="008E09CF">
        <w:rPr>
          <w:rFonts w:ascii="Corbel" w:hAnsi="Corbel" w:cs="CatCafe"/>
          <w:color w:val="000000" w:themeColor="text1"/>
          <w:sz w:val="22"/>
          <w:lang w:val="fr-CA"/>
        </w:rPr>
        <w:t>’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>Universit</w:t>
      </w:r>
      <w:r w:rsidR="008E09CF" w:rsidRPr="008E09CF">
        <w:rPr>
          <w:rFonts w:ascii="Corbel" w:hAnsi="Corbel" w:cs="CatCafe"/>
          <w:color w:val="000000" w:themeColor="text1"/>
          <w:sz w:val="22"/>
          <w:lang w:val="fr-CA"/>
        </w:rPr>
        <w:t>é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 xml:space="preserve"> d</w:t>
      </w:r>
      <w:r w:rsidR="008E09CF" w:rsidRPr="008E09CF">
        <w:rPr>
          <w:rFonts w:ascii="Corbel" w:hAnsi="Corbel" w:cs="CatCafe"/>
          <w:color w:val="000000" w:themeColor="text1"/>
          <w:sz w:val="22"/>
          <w:lang w:val="fr-CA"/>
        </w:rPr>
        <w:t>’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>Ottawa, pour la conf</w:t>
      </w:r>
      <w:r w:rsidR="008E09CF" w:rsidRPr="008E09CF">
        <w:rPr>
          <w:rFonts w:ascii="Corbel" w:hAnsi="Corbel" w:cs="CatCafe"/>
          <w:color w:val="000000" w:themeColor="text1"/>
          <w:sz w:val="22"/>
          <w:lang w:val="fr-CA"/>
        </w:rPr>
        <w:t>é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>rence d’ouverture</w:t>
      </w:r>
      <w:r w:rsidR="001F5368" w:rsidRPr="001F5368">
        <w:rPr>
          <w:rFonts w:ascii="Corbel" w:hAnsi="Corbel"/>
          <w:color w:val="000000" w:themeColor="text1"/>
          <w:sz w:val="22"/>
          <w:lang w:val="fr-CA"/>
        </w:rPr>
        <w:t xml:space="preserve"> afin de découvrir différentes applications pertinentes des mathématiques</w:t>
      </w:r>
      <w:r w:rsidR="008E09CF" w:rsidRPr="008E09CF">
        <w:rPr>
          <w:rFonts w:ascii="Corbel" w:hAnsi="Corbel"/>
          <w:color w:val="000000" w:themeColor="text1"/>
          <w:sz w:val="22"/>
          <w:lang w:val="fr-CA"/>
        </w:rPr>
        <w:t xml:space="preserve">. </w:t>
      </w:r>
    </w:p>
    <w:p w:rsidR="000F1A3D" w:rsidRDefault="000F1A3D" w:rsidP="00F950F8">
      <w:pPr>
        <w:pStyle w:val="NormalWeb"/>
        <w:spacing w:before="0" w:beforeAutospacing="0" w:after="0" w:afterAutospacing="0"/>
        <w:contextualSpacing/>
        <w:jc w:val="both"/>
        <w:rPr>
          <w:rFonts w:ascii="Corbel" w:hAnsi="Corbel"/>
          <w:color w:val="000000" w:themeColor="text1"/>
          <w:sz w:val="22"/>
          <w:lang w:val="fr-CA"/>
        </w:rPr>
      </w:pPr>
    </w:p>
    <w:p w:rsidR="000F1A3D" w:rsidRDefault="000F1A3D" w:rsidP="00F950F8">
      <w:pPr>
        <w:pStyle w:val="NormalWeb"/>
        <w:spacing w:before="0" w:beforeAutospacing="0" w:after="0" w:afterAutospacing="0"/>
        <w:contextualSpacing/>
        <w:jc w:val="both"/>
        <w:rPr>
          <w:rFonts w:ascii="Corbel" w:hAnsi="Corbel"/>
          <w:color w:val="000000" w:themeColor="text1"/>
          <w:sz w:val="22"/>
          <w:lang w:val="fr-CA"/>
        </w:rPr>
      </w:pPr>
      <w:r>
        <w:rPr>
          <w:rFonts w:ascii="Corbel" w:hAnsi="Corbel"/>
          <w:color w:val="000000" w:themeColor="text1"/>
          <w:sz w:val="22"/>
          <w:lang w:val="fr-CA"/>
        </w:rPr>
        <w:t>Saviez-vous que le congrès offre un volet dédié exclusivement aux enseignants du primaire? Voici quelques exemples d’ateliers qui ont été offerts dans les congrès des dernières années :</w:t>
      </w:r>
    </w:p>
    <w:p w:rsidR="000F1A3D" w:rsidRDefault="000F1A3D" w:rsidP="00F950F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Corbel" w:hAnsi="Corbel"/>
          <w:color w:val="000000" w:themeColor="text1"/>
          <w:sz w:val="22"/>
          <w:lang w:val="fr-CA"/>
        </w:rPr>
      </w:pPr>
      <w:r>
        <w:rPr>
          <w:rFonts w:ascii="Corbel" w:hAnsi="Corbel"/>
          <w:color w:val="000000" w:themeColor="text1"/>
          <w:sz w:val="22"/>
          <w:lang w:val="fr-CA"/>
        </w:rPr>
        <w:t>Mathémagie au primaire</w:t>
      </w:r>
    </w:p>
    <w:p w:rsidR="000F1A3D" w:rsidRPr="000F1A3D" w:rsidRDefault="000F1A3D" w:rsidP="00F950F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Corbel" w:hAnsi="Corbel"/>
          <w:color w:val="000000" w:themeColor="text1"/>
          <w:sz w:val="22"/>
          <w:szCs w:val="22"/>
          <w:lang w:val="fr-CA"/>
        </w:rPr>
      </w:pPr>
      <w:r w:rsidRPr="000F1A3D">
        <w:rPr>
          <w:rFonts w:ascii="Corbel" w:hAnsi="Corbel"/>
          <w:color w:val="000000" w:themeColor="text1"/>
          <w:sz w:val="22"/>
          <w:szCs w:val="22"/>
          <w:lang w:val="fr-CA"/>
        </w:rPr>
        <w:t>Surprendre pour apprendre!</w:t>
      </w:r>
    </w:p>
    <w:p w:rsidR="000F1A3D" w:rsidRPr="000F1A3D" w:rsidRDefault="000F1A3D" w:rsidP="00F950F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Corbel" w:hAnsi="Corbel"/>
          <w:color w:val="000000" w:themeColor="text1"/>
          <w:sz w:val="22"/>
          <w:szCs w:val="22"/>
          <w:lang w:val="fr-CA"/>
        </w:rPr>
      </w:pPr>
      <w:r w:rsidRPr="000F1A3D">
        <w:rPr>
          <w:rFonts w:ascii="Corbel" w:hAnsi="Corbel"/>
          <w:color w:val="000000" w:themeColor="text1"/>
          <w:sz w:val="22"/>
          <w:szCs w:val="22"/>
          <w:lang w:val="fr-CA"/>
        </w:rPr>
        <w:t>Quand les mathématiciens font des bulles de savon!</w:t>
      </w:r>
    </w:p>
    <w:p w:rsidR="000F1A3D" w:rsidRPr="000F1A3D" w:rsidRDefault="000F1A3D" w:rsidP="00F950F8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Q</w:t>
      </w:r>
      <w:r w:rsidRPr="000F1A3D">
        <w:rPr>
          <w:rFonts w:ascii="Corbel" w:hAnsi="Corbel" w:cs="Arial"/>
          <w:bCs/>
        </w:rPr>
        <w:t>u’est-ce qui influencent les pratiques d’enseignement de la résolution de problèmes?</w:t>
      </w:r>
    </w:p>
    <w:p w:rsidR="000F1A3D" w:rsidRPr="000F1A3D" w:rsidRDefault="000F1A3D" w:rsidP="00F950F8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Corbel" w:hAnsi="Corbel" w:cs="Arial"/>
          <w:bCs/>
        </w:rPr>
      </w:pPr>
      <w:r w:rsidRPr="000F1A3D">
        <w:rPr>
          <w:rFonts w:ascii="Corbel" w:hAnsi="Corbel" w:cs="Arial"/>
          <w:bCs/>
        </w:rPr>
        <w:t>Amener les élèves à saisir la structure mathématique d’un problème écrit : approche globale</w:t>
      </w:r>
    </w:p>
    <w:p w:rsidR="000F1A3D" w:rsidRDefault="000F1A3D" w:rsidP="00F950F8">
      <w:pPr>
        <w:pStyle w:val="Paragraphedeliste"/>
        <w:numPr>
          <w:ilvl w:val="0"/>
          <w:numId w:val="2"/>
        </w:numPr>
        <w:spacing w:before="120" w:after="120" w:line="240" w:lineRule="auto"/>
        <w:rPr>
          <w:rFonts w:ascii="Corbel" w:hAnsi="Corbel" w:cs="Arial"/>
          <w:bCs/>
        </w:rPr>
      </w:pPr>
      <w:r>
        <w:rPr>
          <w:rFonts w:ascii="Corbel" w:hAnsi="Corbel" w:cs="Arial"/>
          <w:bCs/>
        </w:rPr>
        <w:t>I</w:t>
      </w:r>
      <w:r w:rsidRPr="000F1A3D">
        <w:rPr>
          <w:rFonts w:ascii="Corbel" w:hAnsi="Corbel" w:cs="Arial"/>
          <w:bCs/>
        </w:rPr>
        <w:t>mpliquer les parents dans le développement de la numératie de leur enfant</w:t>
      </w:r>
    </w:p>
    <w:p w:rsidR="00F950F8" w:rsidRPr="000F1A3D" w:rsidRDefault="00F950F8" w:rsidP="00F950F8">
      <w:pPr>
        <w:pStyle w:val="Paragraphedeliste"/>
        <w:spacing w:before="120" w:after="120" w:line="240" w:lineRule="auto"/>
        <w:ind w:left="360"/>
        <w:rPr>
          <w:rFonts w:ascii="Corbel" w:hAnsi="Corbel" w:cs="Arial"/>
          <w:bCs/>
        </w:rPr>
      </w:pPr>
      <w:r w:rsidRPr="001F5368">
        <w:rPr>
          <w:rFonts w:ascii="Corbel" w:hAnsi="Corbel"/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-1377950</wp:posOffset>
                </wp:positionH>
                <wp:positionV relativeFrom="paragraph">
                  <wp:posOffset>239973</wp:posOffset>
                </wp:positionV>
                <wp:extent cx="8815705" cy="490893"/>
                <wp:effectExtent l="0" t="0" r="2349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5705" cy="4908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1020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2AFD15" id="Rectangle 4" o:spid="_x0000_s1026" style="position:absolute;margin-left:-108.5pt;margin-top:18.9pt;width:694.15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" filled="f" strokecolor="#010203" strokeweight="1pt"/>
            </w:pict>
          </mc:Fallback>
        </mc:AlternateContent>
      </w:r>
    </w:p>
    <w:p w:rsidR="001F5368" w:rsidRPr="001F5368" w:rsidRDefault="001F5368" w:rsidP="001F5368">
      <w:pPr>
        <w:pStyle w:val="NormalWeb"/>
        <w:spacing w:before="0" w:beforeAutospacing="0" w:after="0" w:afterAutospacing="0"/>
        <w:jc w:val="both"/>
        <w:rPr>
          <w:rFonts w:ascii="Corbel" w:hAnsi="Corbel"/>
          <w:b/>
          <w:color w:val="000000" w:themeColor="text1"/>
          <w:lang w:val="fr-CA"/>
        </w:rPr>
      </w:pPr>
      <w:r w:rsidRPr="001F5368">
        <w:rPr>
          <w:rFonts w:ascii="Corbel" w:hAnsi="Corbel"/>
          <w:b/>
          <w:color w:val="000000" w:themeColor="text1"/>
          <w:lang w:val="fr-CA"/>
        </w:rPr>
        <w:t>Pour plus d’informations, n’hésitez pas à contacter Andrée-Ann Pugin, enseignante en mathématiques au Cégep de l’Outaouais. (andree-ann.pugin@cegepoutaouais.qc.ca)</w:t>
      </w:r>
    </w:p>
    <w:p w:rsidR="001F5368" w:rsidRDefault="001F5368" w:rsidP="001F5368">
      <w:pPr>
        <w:pStyle w:val="NormalWeb"/>
        <w:spacing w:before="0" w:beforeAutospacing="0" w:after="0" w:afterAutospacing="0"/>
        <w:jc w:val="both"/>
        <w:rPr>
          <w:rFonts w:ascii="CatCafe" w:hAnsi="CatCafe"/>
          <w:color w:val="000000" w:themeColor="text1"/>
          <w:sz w:val="22"/>
          <w:lang w:val="fr-CA"/>
        </w:rPr>
      </w:pPr>
    </w:p>
    <w:p w:rsidR="008E09CF" w:rsidRPr="008E09CF" w:rsidRDefault="001F5368" w:rsidP="000F1A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-1023582</wp:posOffset>
                </wp:positionH>
                <wp:positionV relativeFrom="paragraph">
                  <wp:posOffset>132895</wp:posOffset>
                </wp:positionV>
                <wp:extent cx="7883155" cy="968991"/>
                <wp:effectExtent l="0" t="0" r="22860" b="222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3155" cy="9689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368" w:rsidRPr="001F5368" w:rsidRDefault="008A2251" w:rsidP="001F53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 PLAISIR DE S’Y VOIR!</w:t>
                            </w:r>
                          </w:p>
                          <w:p w:rsidR="001F5368" w:rsidRPr="001F5368" w:rsidRDefault="001F5368" w:rsidP="001F53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368">
                              <w:rPr>
                                <w:color w:val="FFFFFF" w:themeColor="background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 et 14 octobre au Cégep de l’Outaouais, campus Gabrielle Roy</w:t>
                            </w:r>
                          </w:p>
                          <w:p w:rsidR="001F5368" w:rsidRPr="001F5368" w:rsidRDefault="001F5368" w:rsidP="001F536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368">
                              <w:rPr>
                                <w:color w:val="FFFFFF" w:themeColor="background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www.congresamq2017.com</w:t>
                            </w:r>
                          </w:p>
                          <w:p w:rsidR="001F5368" w:rsidRDefault="001F5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80.6pt;margin-top:10.45pt;width:620.7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" fillcolor="black [3200]" strokecolor="white [3201]" strokeweight="1.5pt">
                <v:textbox>
                  <w:txbxContent>
                    <w:p w:rsidR="001F5368" w:rsidRPr="001F5368" w:rsidRDefault="008A2251" w:rsidP="001F5368">
                      <w:pPr>
                        <w:spacing w:line="240" w:lineRule="auto"/>
                        <w:contextualSpacing/>
                        <w:jc w:val="center"/>
                        <w:rPr>
                          <w:color w:val="FFFFFF" w:themeColor="background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 PLAISIR DE S’Y VOIR!</w:t>
                      </w:r>
                    </w:p>
                    <w:p w:rsidR="001F5368" w:rsidRPr="001F5368" w:rsidRDefault="001F5368" w:rsidP="001F5368">
                      <w:pPr>
                        <w:spacing w:line="240" w:lineRule="auto"/>
                        <w:contextualSpacing/>
                        <w:jc w:val="center"/>
                        <w:rPr>
                          <w:color w:val="FFFFFF" w:themeColor="background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368">
                        <w:rPr>
                          <w:color w:val="FFFFFF" w:themeColor="background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 et 14 octobre au Cégep de l’Outaouais, campus Gabrielle Roy</w:t>
                      </w:r>
                    </w:p>
                    <w:p w:rsidR="001F5368" w:rsidRPr="001F5368" w:rsidRDefault="001F5368" w:rsidP="001F5368">
                      <w:pPr>
                        <w:spacing w:line="240" w:lineRule="auto"/>
                        <w:contextualSpacing/>
                        <w:jc w:val="center"/>
                        <w:rPr>
                          <w:color w:val="FFFFFF" w:themeColor="background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368">
                        <w:rPr>
                          <w:color w:val="FFFFFF" w:themeColor="background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www.congresamq2017.com</w:t>
                      </w:r>
                    </w:p>
                    <w:p w:rsidR="001F5368" w:rsidRDefault="001F5368"/>
                  </w:txbxContent>
                </v:textbox>
              </v:shape>
            </w:pict>
          </mc:Fallback>
        </mc:AlternateContent>
      </w:r>
    </w:p>
    <w:sectPr w:rsidR="008E09CF" w:rsidRPr="008E0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tCafe">
    <w:altName w:val="MS PGothic"/>
    <w:charset w:val="00"/>
    <w:family w:val="auto"/>
    <w:pitch w:val="variable"/>
    <w:sig w:usb0="00000000" w:usb1="00070002" w:usb2="0000000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120F"/>
    <w:multiLevelType w:val="hybridMultilevel"/>
    <w:tmpl w:val="6C72DB84"/>
    <w:lvl w:ilvl="0" w:tplc="1DF0019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2397D"/>
    <w:multiLevelType w:val="hybridMultilevel"/>
    <w:tmpl w:val="48AC630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CF"/>
    <w:rsid w:val="000F1A3D"/>
    <w:rsid w:val="001F5368"/>
    <w:rsid w:val="008A2251"/>
    <w:rsid w:val="008E09CF"/>
    <w:rsid w:val="00AB57D2"/>
    <w:rsid w:val="00C75293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5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1F53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A"/>
    </w:rPr>
  </w:style>
  <w:style w:type="paragraph" w:styleId="Paragraphedeliste">
    <w:name w:val="List Paragraph"/>
    <w:basedOn w:val="Normal"/>
    <w:uiPriority w:val="34"/>
    <w:qFormat/>
    <w:rsid w:val="000F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5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1F53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A"/>
    </w:rPr>
  </w:style>
  <w:style w:type="paragraph" w:styleId="Paragraphedeliste">
    <w:name w:val="List Paragraph"/>
    <w:basedOn w:val="Normal"/>
    <w:uiPriority w:val="34"/>
    <w:qFormat/>
    <w:rsid w:val="000F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Andrée-Ann Pugin</dc:creator>
  <cp:lastModifiedBy>CSDM</cp:lastModifiedBy>
  <cp:revision>2</cp:revision>
  <dcterms:created xsi:type="dcterms:W3CDTF">2017-07-07T11:51:00Z</dcterms:created>
  <dcterms:modified xsi:type="dcterms:W3CDTF">2017-07-07T11:51:00Z</dcterms:modified>
</cp:coreProperties>
</file>